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EF" w:rsidRPr="009155EF" w:rsidRDefault="009155EF" w:rsidP="009155EF">
      <w:pPr>
        <w:spacing w:before="300" w:after="300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9155EF">
        <w:rPr>
          <w:rFonts w:ascii="Tahoma" w:eastAsia="Times New Roman" w:hAnsi="Tahoma" w:cs="Tahoma"/>
          <w:sz w:val="29"/>
          <w:szCs w:val="29"/>
          <w:lang w:eastAsia="ru-RU"/>
        </w:rPr>
        <w:t>МИНИСТЕРСТВО ЭКОНОМИЧЕСКОГО РАЗВИТИЯ РОССИЙСКОЙ ФЕДЕРАЦИИ</w:t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  <w:t>N 31047-ЕЕ/Д28и</w:t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  <w:t>ФЕДЕРАЛЬНАЯ АНТИМОНОПОЛЬНАЯ СЛУЖБА</w:t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  <w:t>N АЦ/50997/14</w:t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  <w:t>ПИСЬМО</w:t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  <w:t>от 11 декабря 2014 года</w:t>
      </w:r>
      <w:bookmarkStart w:id="0" w:name="_GoBack"/>
      <w:bookmarkEnd w:id="0"/>
      <w:proofErr w:type="gramStart"/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9155EF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t>О</w:t>
      </w:r>
      <w:proofErr w:type="gramEnd"/>
      <w:r w:rsidRPr="009155EF">
        <w:rPr>
          <w:rFonts w:ascii="Tahoma" w:eastAsia="Times New Roman" w:hAnsi="Tahoma" w:cs="Tahoma"/>
          <w:sz w:val="20"/>
          <w:szCs w:val="20"/>
          <w:lang w:eastAsia="ru-RU"/>
        </w:rPr>
        <w:t xml:space="preserve"> ПОЗИЦИИ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МИНЭКОНОМРАЗВИТИЯ РОССИИ И ФАС РОССИИ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ПО ВОПРОСУ ПРИМЕНЕНИЯ НОРМ ФЕДЕРАЛЬНОГО ЗАКОНА ОТ 5 АПРЕЛЯ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2013 Г. N 44-ФЗ "О КОНТРАКТНОЙ СИСТЕМЕ В СФЕРЕ ЗАКУПОК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ТОВАРОВ, РАБОТ, УСЛУГ ДЛЯ ОБЕСПЕЧЕНИЯ ГОСУДАРСТВЕННЫХ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И МУНИЦИПАЛЬНЫХ НУЖД" В ОТНОШЕНИИ УСТАНОВЛЕНИЯ ПОРЯДКА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РАССМОТРЕНИЯ И ОЦЕНКИ ЗАЯВОК, ОКОНЧАТЕЛЬНЫХ ПРЕДЛОЖЕНИЙ</w:t>
      </w:r>
      <w:r w:rsidRPr="009155EF">
        <w:rPr>
          <w:rFonts w:ascii="Tahoma" w:eastAsia="Times New Roman" w:hAnsi="Tahoma" w:cs="Tahoma"/>
          <w:sz w:val="20"/>
          <w:szCs w:val="20"/>
          <w:lang w:eastAsia="ru-RU"/>
        </w:rPr>
        <w:br/>
        <w:t>УЧАСТНИКОВ ЗАКУПКИ ПО НЕСТОИМОСТНЫМ КРИТЕРИЯМ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В связи с поступающими вопросами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отношении установления в конкурсной документации, документации о проведении запроса предложений (далее - документация о закупке) порядка рассмотрения и оценки заявок, окончательных предложений (далее - заявка</w:t>
      </w:r>
      <w:proofErr w:type="gram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) участников закупки по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нестоимостным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критериям Минэкономразвития России и ФАС России сообщают следующее.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Согласно пункту 9 части 1 статьи 50, пункту 7 части 6 статьи 83 Закона N 44-ФЗ документация о закупке должна содержать критерии оценки заявок на участие в закупке, величины значимости этих критериев, порядок рассмотрения и оценки таких заявок.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В соответствии с частью 8 статьи 32 Закона N 44-ФЗ порядок оценки заявок участников закупки, в том числе предельные величины значимости каждого критерия, устанавливаются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  <w:proofErr w:type="gramEnd"/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Согласно пункту 4 Правил для оценки заявок заказчик устанавливает в документации о закупке следующие критерии оценки: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а) стоимостные критерии оценки, в том числе цена контракта;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б)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нестоимостные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критерии оценки: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качественные, функциональные и экологические характеристики объекта закупки;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 (далее - квалификация участников закупки).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В соответствии с положениями пункта 8 Правил для оценки заявок заказчик устанавливает в документации о закупке не менее двух критериев оценки, одним из которых должен быть критерий "цепа контракта".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Следовательно, заказчик для оценки заявок на участие в закупке вправе также установить в конкурсной документации как один из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нестоимостных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критериев, так и оба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нестоимостных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критерия, за исключением особенностей оценки заявок на выполнение строительных работ, указанных в пункте 11 Правил.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Пунктом 10 Правил установлено, что в документации о закупке в отношении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нестоимостных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критериев оценки могут быть предусмотрены показатели, раскрывающие содержание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нестоимостных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критериев оценки и учитывающие особенности оценки закупаемых товаров, работ, услуг по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нестоимостным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критериям оценки.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Кроме того, пунктом 11 Правил установлено, что для оценки заявок по каждому критерию оценки используется 100-балльная шкала оценки. </w:t>
      </w: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Если в соответствии с пунктом 10 Правил в отношении </w:t>
      </w:r>
      <w:r w:rsidRPr="009155EF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формула расчета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</w:r>
      <w:proofErr w:type="gram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В случае осуществления закупки, по результатам которой заключается контракт, предусматривающий выполнение строительных работ, заказчик обязан установить показатель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закупки", за исключением случая, предусмотренного пунктом 30 Правил. При этом значимость показателя должна составлять не менее 50 процентов значимости всех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нестоимостных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критериев оценки.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В соответствии с частью 5 статьи 53 Закона N 44-ФЗ 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 Согласно части 7 статьи 53 Закона N 44-ФЗ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Согласно пункту 3 Правил "оценка" - процесс выявления по критериям оценки и в порядке, установленном в документации о закупке, лучших условий исполнения контракта, указанных в заявках участников закупки, которые не были отклонены.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На основании изложенного, в целях выявления лучшего условия исполнения контракта, документация о закупке должна содержать: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предмет оценки, позволяющий определить исчерпывающий перечень сведений, подлежащих оценке конкурсной комиссией и, соответственно, подлежащих представлению участниками закупки в своих заявках для получения оценки по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нестоимостным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 критериям;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зависимость (формула расчета количества баллов или шкала оценки) между количеством присваиваемых баллов и представляемыми сведениями по критерию "качественные, функциональные и экологические характеристики объекта закупки" (показателям критерия) в случае, если возможна количественная оценка представляемых сведений;</w:t>
      </w:r>
      <w:proofErr w:type="gramEnd"/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пропорциональную зависимость (формула расчета количества баллов или шкала оценки) между количеством присваиваемых баллов и представляемыми сведениями по критерию "квалификация участников закупки" (показателям критерия), учитывая, что в отношении сведений, представляемых по указанному критерию возможна количественная оценка;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инструкцию по заполнению заявки, позволяющую определить, какие именно сведения подлежат описанию и представлению участниками закупки для оценки конкурсной комиссией.</w:t>
      </w:r>
    </w:p>
    <w:p w:rsidR="009155EF" w:rsidRPr="009155EF" w:rsidRDefault="009155EF" w:rsidP="009155EF">
      <w:pPr>
        <w:spacing w:after="0" w:line="240" w:lineRule="auto"/>
        <w:ind w:firstLine="390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В случае установления в документации о закупке показателя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 заказчик раскрывает содержание, определяющее сопоставимость имеющегося у участников закупки опыта по поставке товара, выполнению работ, оказанию услуг с предметом осуществляемой закупки, в том числе указывает единицу измерения объема.</w:t>
      </w:r>
      <w:proofErr w:type="gramEnd"/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Заместитель Министра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экономического развития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Е.И.ЕЛИН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Статс-секретарь Заместитель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 xml:space="preserve">руководителя </w:t>
      </w:r>
      <w:proofErr w:type="gram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Федеральной</w:t>
      </w:r>
      <w:proofErr w:type="gramEnd"/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антимонопольной службы</w:t>
      </w:r>
    </w:p>
    <w:p w:rsidR="009155EF" w:rsidRPr="009155EF" w:rsidRDefault="009155EF" w:rsidP="009155EF">
      <w:pPr>
        <w:spacing w:after="0" w:line="240" w:lineRule="auto"/>
        <w:ind w:firstLine="390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А.Ю.ЦАРИКОВСКИЙ</w:t>
      </w:r>
    </w:p>
    <w:p w:rsidR="009155EF" w:rsidRPr="009155EF" w:rsidRDefault="009155EF" w:rsidP="009155EF">
      <w:pPr>
        <w:spacing w:before="90" w:after="90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9155EF" w:rsidRPr="009155EF" w:rsidRDefault="009155EF" w:rsidP="009155EF">
      <w:pPr>
        <w:spacing w:before="90" w:after="90" w:line="240" w:lineRule="auto"/>
        <w:jc w:val="center"/>
        <w:rPr>
          <w:rFonts w:ascii="Tahoma" w:eastAsia="Times New Roman" w:hAnsi="Tahoma" w:cs="Tahoma"/>
          <w:b/>
          <w:bCs/>
          <w:vanish/>
          <w:color w:val="000000"/>
          <w:sz w:val="21"/>
          <w:szCs w:val="21"/>
          <w:lang w:eastAsia="ru-RU"/>
        </w:rPr>
      </w:pPr>
      <w:r w:rsidRPr="009155EF">
        <w:rPr>
          <w:rFonts w:ascii="Tahoma" w:eastAsia="Times New Roman" w:hAnsi="Tahoma" w:cs="Tahoma"/>
          <w:b/>
          <w:bCs/>
          <w:vanish/>
          <w:color w:val="000000"/>
          <w:sz w:val="21"/>
          <w:szCs w:val="21"/>
          <w:lang w:eastAsia="ru-RU"/>
        </w:rPr>
        <w:t>Справка о документе</w: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  <w:t>Источник публикации</w:t>
      </w:r>
    </w:p>
    <w:p w:rsidR="009155EF" w:rsidRPr="009155EF" w:rsidRDefault="009155EF" w:rsidP="009155EF">
      <w:pPr>
        <w:spacing w:after="0" w:line="240" w:lineRule="auto"/>
        <w:ind w:firstLine="390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t>Документ опубликован не был</w: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  <w:t>Примечание к документу</w:t>
      </w:r>
    </w:p>
    <w:p w:rsidR="009155EF" w:rsidRPr="009155EF" w:rsidRDefault="009155EF" w:rsidP="009155EF">
      <w:pPr>
        <w:spacing w:after="0" w:line="240" w:lineRule="auto"/>
        <w:ind w:firstLine="390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t>КонсультантПлюс: примечание.</w:t>
      </w:r>
    </w:p>
    <w:p w:rsidR="009155EF" w:rsidRPr="009155EF" w:rsidRDefault="009155EF" w:rsidP="009155EF">
      <w:pPr>
        <w:spacing w:after="0" w:line="240" w:lineRule="auto"/>
        <w:ind w:firstLine="390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t>Текст документа приведен в соответствии с публикацией на сайте http://zakupki.gov.ru по состоянию на 15.12.2014.</w: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pict>
          <v:rect id="_x0000_i1027" style="width:0;height:.75pt" o:hralign="center" o:hrstd="t" o:hrnoshade="t" o:hr="t" fillcolor="#999" stroked="f"/>
        </w:pic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b/>
          <w:bCs/>
          <w:vanish/>
          <w:sz w:val="24"/>
          <w:szCs w:val="24"/>
          <w:lang w:eastAsia="ru-RU"/>
        </w:rPr>
        <w:t>Название документа</w: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  <w:r w:rsidRPr="009155EF">
        <w:rPr>
          <w:rFonts w:ascii="Tahoma" w:eastAsia="Times New Roman" w:hAnsi="Tahoma" w:cs="Tahoma"/>
          <w:vanish/>
          <w:sz w:val="24"/>
          <w:szCs w:val="24"/>
          <w:lang w:eastAsia="ru-RU"/>
        </w:rPr>
        <w:t>&lt;Письмо&gt; Минэкономразвития России N 31047-ЕЕ/Д28и, ФАС России N АЦ/50997/14 от 11.12.2014 "О позиции Минэкономразвития России и ФАС России по вопросу применения норм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отношении установления порядка рассмотрения и оценки заявок, окончательных предложений участников закупки по нестоимостным критериям"</w:t>
      </w:r>
    </w:p>
    <w:p w:rsidR="009155EF" w:rsidRPr="009155EF" w:rsidRDefault="009155EF" w:rsidP="009155EF">
      <w:pPr>
        <w:spacing w:before="90" w:after="9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 w:rsidRPr="009155EF">
        <w:rPr>
          <w:rFonts w:ascii="Tahoma" w:eastAsia="Times New Roman" w:hAnsi="Tahoma" w:cs="Tahoma"/>
          <w:vanish/>
          <w:sz w:val="18"/>
          <w:szCs w:val="18"/>
          <w:lang w:eastAsia="ru-RU"/>
        </w:rPr>
        <w:t>В коммерческой версии системы КонсультантПлюс - дополнительная информация к документу (разъяснения, комментарии, судебная практика и пр.):</w:t>
      </w:r>
    </w:p>
    <w:p w:rsidR="009155EF" w:rsidRPr="009155EF" w:rsidRDefault="009155EF" w:rsidP="009155EF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 w:rsidRPr="009155EF">
        <w:rPr>
          <w:rFonts w:ascii="Tahoma" w:eastAsia="Times New Roman" w:hAnsi="Tahoma" w:cs="Tahoma"/>
          <w:vanish/>
          <w:sz w:val="18"/>
          <w:szCs w:val="18"/>
          <w:lang w:eastAsia="ru-RU"/>
        </w:rPr>
        <w:t>- к статье</w:t>
      </w:r>
    </w:p>
    <w:p w:rsidR="009155EF" w:rsidRPr="009155EF" w:rsidRDefault="009155EF" w:rsidP="009155EF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 w:rsidRPr="009155EF">
        <w:rPr>
          <w:rFonts w:ascii="Tahoma" w:eastAsia="Times New Roman" w:hAnsi="Tahoma" w:cs="Tahoma"/>
          <w:vanish/>
          <w:sz w:val="18"/>
          <w:szCs w:val="18"/>
          <w:lang w:eastAsia="ru-RU"/>
        </w:rPr>
        <w:t>- ко всему документу.</w:t>
      </w:r>
    </w:p>
    <w:p w:rsidR="009155EF" w:rsidRPr="009155EF" w:rsidRDefault="009155EF" w:rsidP="009155EF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 w:rsidRPr="009155EF">
        <w:rPr>
          <w:rFonts w:ascii="Tahoma" w:eastAsia="Times New Roman" w:hAnsi="Tahoma" w:cs="Tahoma"/>
          <w:vanish/>
          <w:sz w:val="18"/>
          <w:szCs w:val="18"/>
          <w:lang w:eastAsia="ru-RU"/>
        </w:rPr>
        <w:t>На сайте возможность недоступна.</w:t>
      </w:r>
    </w:p>
    <w:p w:rsidR="009155EF" w:rsidRPr="009155EF" w:rsidRDefault="009155EF" w:rsidP="009155E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55E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55EF" w:rsidRPr="009155EF" w:rsidRDefault="009155EF" w:rsidP="009155EF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9155EF">
        <w:rPr>
          <w:rFonts w:ascii="Tahoma" w:eastAsia="Times New Roman" w:hAnsi="Tahoma" w:cs="Tahoma"/>
          <w:sz w:val="19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5" o:title=""/>
          </v:shape>
          <w:control r:id="rId6" w:name="DefaultOcxName" w:shapeid="_x0000_i1038"/>
        </w:object>
      </w:r>
      <w:r w:rsidRPr="009155EF">
        <w:rPr>
          <w:rFonts w:ascii="Tahoma" w:eastAsia="Times New Roman" w:hAnsi="Tahoma" w:cs="Tahoma"/>
          <w:sz w:val="19"/>
          <w:szCs w:val="19"/>
          <w:lang w:eastAsia="ru-RU"/>
        </w:rPr>
        <w:object w:dxaOrig="1440" w:dyaOrig="1440">
          <v:shape id="_x0000_i1037" type="#_x0000_t75" style="width:1in;height:18pt" o:ole="">
            <v:imagedata r:id="rId5" o:title=""/>
          </v:shape>
          <w:control r:id="rId7" w:name="DefaultOcxName1" w:shapeid="_x0000_i1037"/>
        </w:object>
      </w:r>
    </w:p>
    <w:p w:rsidR="009155EF" w:rsidRPr="009155EF" w:rsidRDefault="009155EF" w:rsidP="009155E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55E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55EF" w:rsidRPr="009155EF" w:rsidRDefault="009155EF" w:rsidP="009155EF">
      <w:pPr>
        <w:spacing w:after="18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887FFE" w:rsidRDefault="009155EF" w:rsidP="009155EF">
      <w:r w:rsidRPr="009155EF">
        <w:rPr>
          <w:rFonts w:ascii="Tahoma" w:eastAsia="Times New Roman" w:hAnsi="Tahoma" w:cs="Tahoma"/>
          <w:sz w:val="19"/>
          <w:szCs w:val="19"/>
          <w:lang w:eastAsia="ru-RU"/>
        </w:rPr>
        <w:br/>
      </w:r>
      <w:r w:rsidRPr="009155EF">
        <w:rPr>
          <w:rFonts w:ascii="Tahoma" w:eastAsia="Times New Roman" w:hAnsi="Tahoma" w:cs="Tahoma"/>
          <w:sz w:val="19"/>
          <w:szCs w:val="19"/>
          <w:lang w:eastAsia="ru-RU"/>
        </w:rPr>
        <w:br/>
      </w:r>
      <w:hyperlink r:id="rId8" w:history="1">
        <w:r w:rsidRPr="009155EF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http://www.consultant.ru/document/cons_doc_LAW_123519/</w:t>
        </w:r>
      </w:hyperlink>
      <w:r w:rsidRPr="009155EF">
        <w:rPr>
          <w:rFonts w:ascii="Tahoma" w:eastAsia="Times New Roman" w:hAnsi="Tahoma" w:cs="Tahoma"/>
          <w:sz w:val="19"/>
          <w:szCs w:val="19"/>
          <w:lang w:eastAsia="ru-RU"/>
        </w:rPr>
        <w:br/>
        <w:t xml:space="preserve">© </w:t>
      </w:r>
      <w:proofErr w:type="spellStart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КонсультантПлюс</w:t>
      </w:r>
      <w:proofErr w:type="spellEnd"/>
      <w:r w:rsidRPr="009155EF">
        <w:rPr>
          <w:rFonts w:ascii="Tahoma" w:eastAsia="Times New Roman" w:hAnsi="Tahoma" w:cs="Tahoma"/>
          <w:sz w:val="19"/>
          <w:szCs w:val="19"/>
          <w:lang w:eastAsia="ru-RU"/>
        </w:rPr>
        <w:t>, 1992-2014</w:t>
      </w:r>
    </w:p>
    <w:sectPr w:rsidR="0088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31"/>
    <w:rsid w:val="00887FFE"/>
    <w:rsid w:val="009155EF"/>
    <w:rsid w:val="00E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195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64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3061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3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3519/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2014-12-19T05:49:00Z</dcterms:created>
  <dcterms:modified xsi:type="dcterms:W3CDTF">2014-12-19T05:49:00Z</dcterms:modified>
</cp:coreProperties>
</file>